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1D67D2" w14:textId="77777777" w:rsidR="009A42C6" w:rsidRDefault="00000000">
      <w:pPr>
        <w:spacing w:after="240"/>
        <w:jc w:val="center"/>
      </w:pPr>
      <w:r>
        <w:rPr>
          <w:b/>
          <w:bCs/>
          <w:sz w:val="28"/>
          <w:szCs w:val="28"/>
        </w:rPr>
        <w:t>Research Statement</w:t>
      </w:r>
    </w:p>
    <w:p w14:paraId="1E359805" w14:textId="77777777" w:rsidR="00347ACD" w:rsidRDefault="00347ACD" w:rsidP="00347ACD">
      <w:pPr>
        <w:spacing w:after="160" w:line="276" w:lineRule="auto"/>
        <w:jc w:val="both"/>
      </w:pPr>
    </w:p>
    <w:p w14:paraId="7924E2F7" w14:textId="0373EE1E" w:rsidR="009A42C6" w:rsidRDefault="00347ACD" w:rsidP="00347ACD">
      <w:pPr>
        <w:spacing w:after="160" w:line="276" w:lineRule="auto"/>
        <w:jc w:val="both"/>
      </w:pPr>
      <w:r>
        <w:t xml:space="preserve">Before starting a business, choosing a field of study, or committing to an innovation, actors go through a tacit search process in which they learn about the environment they are about to enter. Who are the competitors to my new venture? Who holds the relevant patents? Who is going to hire me? </w:t>
      </w:r>
      <w:r w:rsidR="00F44EC9" w:rsidRPr="00F44EC9">
        <w:t>Despite its ubiquity, this process has more often been inferred from its end results than studied as it unfolds</w:t>
      </w:r>
      <w:r>
        <w:t xml:space="preserve">. Two observations motivate my research agenda. First, the information infrastructure that structures this search has transformed over the past forty years, from directories organized by category to semantic search and algorithmic recommendation. The information retrieval literature has </w:t>
      </w:r>
      <w:r w:rsidR="006B2B3E">
        <w:t>followed this shift</w:t>
      </w:r>
      <w:r>
        <w:t>, but theories of how market actors find and evaluate one another still largely presuppose the older infrastructure. Second, learning about a new operational environment is fundamentally different from looking up a specific piece of information. It is a continuous</w:t>
      </w:r>
      <w:r w:rsidR="002D21C5">
        <w:t xml:space="preserve"> and</w:t>
      </w:r>
      <w:r>
        <w:t xml:space="preserve"> open-ended learning process. My research asks how actors engage the tools that structure their information environment, how their understanding of the problem develops through the search, and how the outcomes feed back into the goals that motivated it.</w:t>
      </w:r>
    </w:p>
    <w:p w14:paraId="17240B5A" w14:textId="7409EFE0" w:rsidR="009A42C6" w:rsidRDefault="00347ACD">
      <w:pPr>
        <w:spacing w:after="160" w:line="276" w:lineRule="auto"/>
        <w:jc w:val="both"/>
      </w:pPr>
      <w:r>
        <w:t>This process is best captured by the metaphor of reconnaissance. Before a battle, an army sends out patrols to learn enemy positions, strengths, and weaknesses, and to decide what will matter the next day. The projects stemming from my dissertation, all joint with Balázs Kovács, develop this idea through the case of new ventures identifying their competitors.</w:t>
      </w:r>
    </w:p>
    <w:p w14:paraId="64411EC9" w14:textId="07567F60" w:rsidR="0072500B" w:rsidRDefault="00347ACD" w:rsidP="0072500B">
      <w:pPr>
        <w:spacing w:after="160" w:line="276" w:lineRule="auto"/>
        <w:jc w:val="both"/>
      </w:pPr>
      <w:r>
        <w:t>Studying reconnaissance requires data on how it unfolds. The aggregated selection counts and rankings used as outcomes in most categorization research underdetermine the procedures that produced them, and retrospective accounts are shaped by rationalization</w:t>
      </w:r>
      <w:r w:rsidRPr="00347ACD">
        <w:t xml:space="preserve">. </w:t>
      </w:r>
      <w:r w:rsidR="00CF4BEB" w:rsidRPr="00CF4BEB">
        <w:t>My empirical work is built around a behavioral simulation platform I designed that presents a database of real companies and lets participants search by browsing categories or entering keywords. It records the complete search trajectory and supports both observational studies and randomized experiments</w:t>
      </w:r>
      <w:r>
        <w:t>.</w:t>
      </w:r>
      <w:r w:rsidR="00CF4BEB">
        <w:t xml:space="preserve"> </w:t>
      </w:r>
      <w:r w:rsidR="00851290" w:rsidRPr="00851290">
        <w:t>My current projects apply it to competitor identification, with many participants reporting entrepreneurial experience or aspirations</w:t>
      </w:r>
      <w:r w:rsidR="00CF4BEB" w:rsidRPr="00CF4BEB">
        <w:t>.</w:t>
      </w:r>
    </w:p>
    <w:p w14:paraId="671672B2" w14:textId="77777777" w:rsidR="00C708E2" w:rsidRDefault="00C708E2">
      <w:pPr>
        <w:spacing w:after="160" w:line="276" w:lineRule="auto"/>
        <w:jc w:val="both"/>
      </w:pPr>
      <w:r w:rsidRPr="00C708E2">
        <w:t xml:space="preserve">The theoretical core of the agenda is developed in </w:t>
      </w:r>
      <w:r w:rsidRPr="00C708E2">
        <w:rPr>
          <w:i/>
          <w:iCs/>
        </w:rPr>
        <w:t>Organizational Reconnaissance</w:t>
      </w:r>
      <w:r w:rsidRPr="00C708E2">
        <w:t xml:space="preserve">, which received a reject-and-resubmit decision at the </w:t>
      </w:r>
      <w:r w:rsidRPr="00C708E2">
        <w:rPr>
          <w:i/>
          <w:iCs/>
        </w:rPr>
        <w:t>Strategic Management Journal</w:t>
      </w:r>
      <w:r w:rsidRPr="00C708E2">
        <w:t xml:space="preserve"> and is being prepared for resubmission. Performance depends on searching a landscape whose dimensions are the attributes that </w:t>
      </w:r>
      <w:proofErr w:type="gramStart"/>
      <w:r w:rsidRPr="00C708E2">
        <w:t>actually matter</w:t>
      </w:r>
      <w:proofErr w:type="gramEnd"/>
      <w:r w:rsidRPr="00C708E2">
        <w:t>. Organizational learning theory has modeled how actors choose among dimensions but says little about how they construct them. The paper argues that actors do that by identifying competitors. A founder of an online education platform who counts a credential-granting consultancy among the competition comes to treat recognized credentials as a dimension that matters, while one who counts another online education platform draws a different lesson about what to prioritize. This is reconnaissance, the work of building the performance landscape before search across it begins. Sessions on the platform show that participants facing similar venture concepts in an identical information environment produce widely divergent competitor sets, and much of this divergence corresponds to differences in how they search. The paper distinguishes three broad strategies, of which participants rate beginning wide and then narrowing as the most effective.</w:t>
      </w:r>
    </w:p>
    <w:p w14:paraId="1D9A40E0" w14:textId="7DDB74A2" w:rsidR="009A42C6" w:rsidRDefault="00F93D22">
      <w:pPr>
        <w:spacing w:after="160" w:line="276" w:lineRule="auto"/>
        <w:jc w:val="both"/>
      </w:pPr>
      <w:r w:rsidRPr="00F93D22">
        <w:t xml:space="preserve">Organizational categorization research is my closest intellectual home, and this work began there, with an interest in categories as instruments of search. Two published papers develop that view. </w:t>
      </w:r>
      <w:r w:rsidRPr="00C708E2">
        <w:rPr>
          <w:i/>
          <w:iCs/>
        </w:rPr>
        <w:t>Categorical Engagement and the Contingent Nature of Typicality Effects</w:t>
      </w:r>
      <w:r w:rsidRPr="00F93D22">
        <w:t xml:space="preserve">, published in </w:t>
      </w:r>
      <w:r w:rsidRPr="00C708E2">
        <w:rPr>
          <w:i/>
          <w:iCs/>
        </w:rPr>
        <w:t>Sociological Science</w:t>
      </w:r>
      <w:r w:rsidRPr="00F93D22">
        <w:t xml:space="preserve">, explains </w:t>
      </w:r>
      <w:r w:rsidRPr="00F93D22">
        <w:lastRenderedPageBreak/>
        <w:t xml:space="preserve">variation in the typicality premium. The tendency of audiences to favor prototypical category members can weaken or reverse depending on context, and prior work attributes this variation to stable traits of the audiences or of the category system. I </w:t>
      </w:r>
      <w:r>
        <w:t>show</w:t>
      </w:r>
      <w:r w:rsidRPr="00F93D22">
        <w:t xml:space="preserve"> that it also originates in the search process itself. By tracking the category a searcher engages, the paper finds that the premium emerges only when searchers invoke industry categories and disappears under keyword-based search. Among category-based searches, the premium further depends on the fit between the searcher's goal and the invoked category, which the paper measures as venture-industry congruence. Good fit neutralizes the premium. Poor fit amplifies it. Typicality effects are a contingent product of how searchers use categories, not a structural property of categories themselves</w:t>
      </w:r>
      <w:r w:rsidR="0072500B">
        <w:t>.</w:t>
      </w:r>
    </w:p>
    <w:p w14:paraId="41B79483" w14:textId="5CDD67A1" w:rsidR="009A42C6" w:rsidRDefault="00057406">
      <w:pPr>
        <w:spacing w:after="160" w:line="276" w:lineRule="auto"/>
        <w:jc w:val="both"/>
      </w:pPr>
      <w:r w:rsidRPr="00057406">
        <w:rPr>
          <w:i/>
          <w:iCs/>
        </w:rPr>
        <w:t>Cognitive Cartography</w:t>
      </w:r>
      <w:r>
        <w:t xml:space="preserve">, published in </w:t>
      </w:r>
      <w:r w:rsidRPr="00057406">
        <w:rPr>
          <w:i/>
          <w:iCs/>
        </w:rPr>
        <w:t>Industrial and Corporate Change</w:t>
      </w:r>
      <w:r>
        <w:t xml:space="preserve">, extends this view to geography. If categories function as tools that actors engage to find relevant matches, industry taxonomies are not the only candidates for the role. Geographic locations qualify when they carry industrial identities that orient outsiders' expectations about the kinds of firms found there. </w:t>
      </w:r>
      <w:r w:rsidR="00C708E2">
        <w:t>The paper</w:t>
      </w:r>
      <w:r>
        <w:t xml:space="preserve"> develop</w:t>
      </w:r>
      <w:r w:rsidR="00C708E2">
        <w:t>s</w:t>
      </w:r>
      <w:r>
        <w:t xml:space="preserve"> venture-location congruence as a parallel to venture-industry </w:t>
      </w:r>
      <w:proofErr w:type="gramStart"/>
      <w:r>
        <w:t>congruence,</w:t>
      </w:r>
      <w:r w:rsidR="00340792">
        <w:t xml:space="preserve"> </w:t>
      </w:r>
      <w:r>
        <w:t>and</w:t>
      </w:r>
      <w:proofErr w:type="gramEnd"/>
      <w:r>
        <w:t xml:space="preserve"> find</w:t>
      </w:r>
      <w:r w:rsidR="00C708E2">
        <w:t>s</w:t>
      </w:r>
      <w:r>
        <w:t xml:space="preserve"> that classical atypicality penalties operate at low congruence but reverse at high. Where a location's identity already supplies legitimacy, atypical firms stand out and become more likely to be selected as competitors. </w:t>
      </w:r>
      <w:r w:rsidR="00013E51" w:rsidRPr="00013E51">
        <w:t xml:space="preserve">Geography functions as a categorical </w:t>
      </w:r>
      <w:proofErr w:type="gramStart"/>
      <w:r w:rsidR="00013E51" w:rsidRPr="00013E51">
        <w:t>lens in its own right</w:t>
      </w:r>
      <w:proofErr w:type="gramEnd"/>
      <w:r>
        <w:t>.</w:t>
      </w:r>
    </w:p>
    <w:p w14:paraId="3AC935D7" w14:textId="34DD700B" w:rsidR="009A42C6" w:rsidRDefault="00797558">
      <w:pPr>
        <w:spacing w:after="160" w:line="276" w:lineRule="auto"/>
        <w:jc w:val="both"/>
      </w:pPr>
      <w:r w:rsidRPr="00797558">
        <w:t>Entrepreneurship is not simply an empirical setting for this work. Competition is implicit in many foundational and modern theories of entrepreneurship</w:t>
      </w:r>
      <w:r>
        <w:t>,</w:t>
      </w:r>
      <w:r w:rsidRPr="00797558">
        <w:t xml:space="preserve"> yet little is known about how perceptions of competition form and shape venture development. </w:t>
      </w:r>
      <w:r w:rsidRPr="00C708E2">
        <w:rPr>
          <w:i/>
          <w:iCs/>
        </w:rPr>
        <w:t xml:space="preserve">Competing Against </w:t>
      </w:r>
      <w:proofErr w:type="gramStart"/>
      <w:r w:rsidRPr="00C708E2">
        <w:rPr>
          <w:i/>
          <w:iCs/>
        </w:rPr>
        <w:t>Whom?,</w:t>
      </w:r>
      <w:proofErr w:type="gramEnd"/>
      <w:r w:rsidRPr="00797558">
        <w:t xml:space="preserve"> now in its third round of revisions at the </w:t>
      </w:r>
      <w:r w:rsidRPr="00C708E2">
        <w:rPr>
          <w:i/>
          <w:iCs/>
        </w:rPr>
        <w:t>Journal of Business Venturing</w:t>
      </w:r>
      <w:r w:rsidRPr="00797558">
        <w:t>, specifies the role of competitive perceptions in early venture concept development, arguing that competition is a uniquely uncertain ingredient in the formation of opportunity beliefs. I</w:t>
      </w:r>
      <w:r>
        <w:t>t</w:t>
      </w:r>
      <w:r w:rsidRPr="00797558">
        <w:t xml:space="preserve"> document</w:t>
      </w:r>
      <w:r>
        <w:t>s</w:t>
      </w:r>
      <w:r w:rsidRPr="00797558">
        <w:t xml:space="preserve"> this uncertainty and </w:t>
      </w:r>
      <w:r>
        <w:t>describes</w:t>
      </w:r>
      <w:r w:rsidRPr="00797558">
        <w:t xml:space="preserve"> an adaptive cycle. Encountering a competitor triggers a threat assessment, which updates broader perceptions of competitive pressure and can prompt revision of the venture concept. A revised venture may face a different competitive landscape, at which point identification begins again. A controlled experiment and a free-search study jointly support the cycle. Participants encountering the same competitor reach widely different conclusions about its implications and spontaneously revise their ventures in ways that shift which competitors are relevant. The identified competitor set is a moving target</w:t>
      </w:r>
      <w:r>
        <w:t>.</w:t>
      </w:r>
    </w:p>
    <w:p w14:paraId="3F164FC4" w14:textId="6D522117" w:rsidR="00E34BC7" w:rsidRPr="00E34BC7" w:rsidRDefault="00917514" w:rsidP="00E34BC7">
      <w:pPr>
        <w:pStyle w:val="font-claude-response-body"/>
        <w:rPr>
          <w:sz w:val="22"/>
          <w:szCs w:val="22"/>
        </w:rPr>
      </w:pPr>
      <w:r w:rsidRPr="00917514">
        <w:rPr>
          <w:sz w:val="22"/>
          <w:szCs w:val="22"/>
        </w:rPr>
        <w:t xml:space="preserve">Beyond these papers, I am developing an invited chapter for the </w:t>
      </w:r>
      <w:r w:rsidRPr="00251654">
        <w:rPr>
          <w:i/>
          <w:iCs/>
          <w:sz w:val="22"/>
          <w:szCs w:val="22"/>
        </w:rPr>
        <w:t>Research in the Sociology of Organizations</w:t>
      </w:r>
      <w:r w:rsidRPr="00917514">
        <w:rPr>
          <w:sz w:val="22"/>
          <w:szCs w:val="22"/>
        </w:rPr>
        <w:t xml:space="preserve"> special issue on categories in the digital age, joint with Paul Gouvard and Balázs Kovács. The chapter generalizes a pattern my work documents at the level of individual searchers, where category effects disappear the moment searchers stop invoking categories. We argue that digital environments increasingly produce this condition at market scale, decoupling evaluation from categorical membership. A listener on a streaming service may never know what genre a recommended track belongs to, and a consumer on a retail platform may never issue a query in categorical terms. </w:t>
      </w:r>
      <w:r w:rsidR="00A132F1" w:rsidRPr="00A132F1">
        <w:rPr>
          <w:sz w:val="22"/>
          <w:szCs w:val="22"/>
        </w:rPr>
        <w:t>If category effects persist where users are unaware of any category, the literature must specify the mechanisms that carry them.</w:t>
      </w:r>
    </w:p>
    <w:p w14:paraId="67889E3C" w14:textId="2E2026B2" w:rsidR="009A42C6" w:rsidRDefault="007D45EB" w:rsidP="00E34BC7">
      <w:pPr>
        <w:spacing w:after="160" w:line="276" w:lineRule="auto"/>
        <w:jc w:val="both"/>
      </w:pPr>
      <w:r w:rsidRPr="007D45EB">
        <w:t xml:space="preserve">My longer-term agenda extends reconnaissance in several directions, including actors who hold strong prior beliefs about their competitive landscape and settings where the outcome of reconnaissance carries social expectations. The project I am furthest along on is a computational model that introduces a new mechanism into research on category spanning. The model contains no audience. Members of a category collectively learn the performance landscape within its boundaries, so a producer that stays inside searches with the </w:t>
      </w:r>
      <w:r w:rsidRPr="007D45EB">
        <w:lastRenderedPageBreak/>
        <w:t>benefit of accumulated peer experience, while one that spans beyond must learn the new landscape alone. This producer-side mechanism generates the familiar spanning discount with no appeal to audience perceptions, and it explains why the penalty is sharpest where category boundaries are most firmly established. It also predicts that violating a strong boundary carries a steeper short-run discount but a greater long-run upside, since the violation opens a larger and less explored opportunity space, a prediction organizational ecology's specialist-generalist argument does not make. Categories serve searchers as tools because they encode what their members have collectively learned, and that connection between categorization and organizational learning is the territory my work is moving toward.</w:t>
      </w:r>
    </w:p>
    <w:sectPr w:rsidR="009A42C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83D420C"/>
    <w:multiLevelType w:val="hybridMultilevel"/>
    <w:tmpl w:val="0FA6A5C8"/>
    <w:lvl w:ilvl="0" w:tplc="65B07EA2">
      <w:start w:val="1"/>
      <w:numFmt w:val="bullet"/>
      <w:lvlText w:val="●"/>
      <w:lvlJc w:val="left"/>
      <w:pPr>
        <w:ind w:left="720" w:hanging="360"/>
      </w:pPr>
    </w:lvl>
    <w:lvl w:ilvl="1" w:tplc="97947A6E">
      <w:start w:val="1"/>
      <w:numFmt w:val="bullet"/>
      <w:lvlText w:val="○"/>
      <w:lvlJc w:val="left"/>
      <w:pPr>
        <w:ind w:left="1440" w:hanging="360"/>
      </w:pPr>
    </w:lvl>
    <w:lvl w:ilvl="2" w:tplc="5D90C24C">
      <w:start w:val="1"/>
      <w:numFmt w:val="bullet"/>
      <w:lvlText w:val="■"/>
      <w:lvlJc w:val="left"/>
      <w:pPr>
        <w:ind w:left="2160" w:hanging="360"/>
      </w:pPr>
    </w:lvl>
    <w:lvl w:ilvl="3" w:tplc="6E4CBFD2">
      <w:start w:val="1"/>
      <w:numFmt w:val="bullet"/>
      <w:lvlText w:val="●"/>
      <w:lvlJc w:val="left"/>
      <w:pPr>
        <w:ind w:left="2880" w:hanging="360"/>
      </w:pPr>
    </w:lvl>
    <w:lvl w:ilvl="4" w:tplc="5D54CD44">
      <w:start w:val="1"/>
      <w:numFmt w:val="bullet"/>
      <w:lvlText w:val="○"/>
      <w:lvlJc w:val="left"/>
      <w:pPr>
        <w:ind w:left="3600" w:hanging="360"/>
      </w:pPr>
    </w:lvl>
    <w:lvl w:ilvl="5" w:tplc="1E109114">
      <w:start w:val="1"/>
      <w:numFmt w:val="bullet"/>
      <w:lvlText w:val="■"/>
      <w:lvlJc w:val="left"/>
      <w:pPr>
        <w:ind w:left="4320" w:hanging="360"/>
      </w:pPr>
    </w:lvl>
    <w:lvl w:ilvl="6" w:tplc="174E55C6">
      <w:start w:val="1"/>
      <w:numFmt w:val="bullet"/>
      <w:lvlText w:val="●"/>
      <w:lvlJc w:val="left"/>
      <w:pPr>
        <w:ind w:left="5040" w:hanging="360"/>
      </w:pPr>
    </w:lvl>
    <w:lvl w:ilvl="7" w:tplc="E47ADFEC">
      <w:start w:val="1"/>
      <w:numFmt w:val="bullet"/>
      <w:lvlText w:val="●"/>
      <w:lvlJc w:val="left"/>
      <w:pPr>
        <w:ind w:left="5760" w:hanging="360"/>
      </w:pPr>
    </w:lvl>
    <w:lvl w:ilvl="8" w:tplc="225C92DA">
      <w:start w:val="1"/>
      <w:numFmt w:val="bullet"/>
      <w:lvlText w:val="●"/>
      <w:lvlJc w:val="left"/>
      <w:pPr>
        <w:ind w:left="6480" w:hanging="360"/>
      </w:pPr>
    </w:lvl>
  </w:abstractNum>
  <w:num w:numId="1" w16cid:durableId="2122264678">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C6"/>
    <w:rsid w:val="00013E51"/>
    <w:rsid w:val="00057406"/>
    <w:rsid w:val="00062BE1"/>
    <w:rsid w:val="00073C7B"/>
    <w:rsid w:val="000C17EB"/>
    <w:rsid w:val="000D749F"/>
    <w:rsid w:val="00194659"/>
    <w:rsid w:val="00251654"/>
    <w:rsid w:val="002B48AF"/>
    <w:rsid w:val="002D21C5"/>
    <w:rsid w:val="002D6791"/>
    <w:rsid w:val="00340792"/>
    <w:rsid w:val="00347ACD"/>
    <w:rsid w:val="005849C7"/>
    <w:rsid w:val="006B2B3E"/>
    <w:rsid w:val="0072500B"/>
    <w:rsid w:val="00733725"/>
    <w:rsid w:val="00797558"/>
    <w:rsid w:val="007D45EB"/>
    <w:rsid w:val="00851290"/>
    <w:rsid w:val="00917514"/>
    <w:rsid w:val="009731D1"/>
    <w:rsid w:val="009A42C6"/>
    <w:rsid w:val="00A132F1"/>
    <w:rsid w:val="00A21F10"/>
    <w:rsid w:val="00A232FC"/>
    <w:rsid w:val="00A26398"/>
    <w:rsid w:val="00A47195"/>
    <w:rsid w:val="00B20DBF"/>
    <w:rsid w:val="00BD6036"/>
    <w:rsid w:val="00C65CB4"/>
    <w:rsid w:val="00C708E2"/>
    <w:rsid w:val="00CD029E"/>
    <w:rsid w:val="00CF4BEB"/>
    <w:rsid w:val="00D7414D"/>
    <w:rsid w:val="00D875C1"/>
    <w:rsid w:val="00DE1AF8"/>
    <w:rsid w:val="00E111FA"/>
    <w:rsid w:val="00E34BC7"/>
    <w:rsid w:val="00E468E8"/>
    <w:rsid w:val="00E764FE"/>
    <w:rsid w:val="00EE5D33"/>
    <w:rsid w:val="00F44EC9"/>
    <w:rsid w:val="00F73F96"/>
    <w:rsid w:val="00F9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C6616"/>
  <w15:docId w15:val="{95B19BA3-4B15-744F-8727-434A92BF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Emphasis">
    <w:name w:val="Emphasis"/>
    <w:basedOn w:val="DefaultParagraphFont"/>
    <w:uiPriority w:val="20"/>
    <w:qFormat/>
    <w:rsid w:val="00A232FC"/>
    <w:rPr>
      <w:i/>
      <w:iCs/>
    </w:rPr>
  </w:style>
  <w:style w:type="paragraph" w:customStyle="1" w:styleId="font-claude-response-body">
    <w:name w:val="font-claude-response-body"/>
    <w:basedOn w:val="Normal"/>
    <w:rsid w:val="00E34BC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C17EB"/>
    <w:rPr>
      <w:sz w:val="16"/>
      <w:szCs w:val="16"/>
    </w:rPr>
  </w:style>
  <w:style w:type="paragraph" w:styleId="CommentText">
    <w:name w:val="annotation text"/>
    <w:basedOn w:val="Normal"/>
    <w:link w:val="CommentTextChar"/>
    <w:uiPriority w:val="99"/>
    <w:semiHidden/>
    <w:unhideWhenUsed/>
    <w:rsid w:val="000C17EB"/>
    <w:rPr>
      <w:sz w:val="20"/>
      <w:szCs w:val="20"/>
    </w:rPr>
  </w:style>
  <w:style w:type="character" w:customStyle="1" w:styleId="CommentTextChar">
    <w:name w:val="Comment Text Char"/>
    <w:basedOn w:val="DefaultParagraphFont"/>
    <w:link w:val="CommentText"/>
    <w:uiPriority w:val="99"/>
    <w:semiHidden/>
    <w:rsid w:val="000C17EB"/>
    <w:rPr>
      <w:sz w:val="20"/>
      <w:szCs w:val="20"/>
    </w:rPr>
  </w:style>
  <w:style w:type="paragraph" w:styleId="CommentSubject">
    <w:name w:val="annotation subject"/>
    <w:basedOn w:val="CommentText"/>
    <w:next w:val="CommentText"/>
    <w:link w:val="CommentSubjectChar"/>
    <w:uiPriority w:val="99"/>
    <w:semiHidden/>
    <w:unhideWhenUsed/>
    <w:rsid w:val="000C17EB"/>
    <w:rPr>
      <w:b/>
      <w:bCs/>
    </w:rPr>
  </w:style>
  <w:style w:type="character" w:customStyle="1" w:styleId="CommentSubjectChar">
    <w:name w:val="Comment Subject Char"/>
    <w:basedOn w:val="CommentTextChar"/>
    <w:link w:val="CommentSubject"/>
    <w:uiPriority w:val="99"/>
    <w:semiHidden/>
    <w:rsid w:val="000C1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3</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 Tyulyupo</cp:lastModifiedBy>
  <cp:revision>11</cp:revision>
  <dcterms:created xsi:type="dcterms:W3CDTF">2026-06-10T16:34:00Z</dcterms:created>
  <dcterms:modified xsi:type="dcterms:W3CDTF">2026-06-23T18:44:00Z</dcterms:modified>
</cp:coreProperties>
</file>